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04" w:rsidRDefault="00B65851" w:rsidP="00E60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  <w:r w:rsidR="00861B76" w:rsidRPr="00861B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60B04">
        <w:rPr>
          <w:rFonts w:ascii="Times New Roman" w:hAnsi="Times New Roman"/>
          <w:b/>
          <w:sz w:val="28"/>
          <w:szCs w:val="28"/>
        </w:rPr>
        <w:t xml:space="preserve">к проекту закона Удмуртской Республики </w:t>
      </w:r>
    </w:p>
    <w:p w:rsidR="00E60B04" w:rsidRPr="00E60B04" w:rsidRDefault="00E60B04" w:rsidP="00E6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60B04">
        <w:rPr>
          <w:rFonts w:ascii="Times New Roman" w:hAnsi="Times New Roman"/>
          <w:b/>
          <w:sz w:val="28"/>
          <w:szCs w:val="28"/>
        </w:rPr>
        <w:t>О внесении изменения в статью 1 Закона</w:t>
      </w:r>
    </w:p>
    <w:p w:rsidR="00E60B04" w:rsidRPr="00E60B04" w:rsidRDefault="00E60B04" w:rsidP="00E6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B04">
        <w:rPr>
          <w:rFonts w:ascii="Times New Roman" w:hAnsi="Times New Roman"/>
          <w:b/>
          <w:sz w:val="28"/>
          <w:szCs w:val="28"/>
        </w:rPr>
        <w:t xml:space="preserve">Удмуртской Республики «О мерах по защите здоровья и развития детей </w:t>
      </w:r>
    </w:p>
    <w:p w:rsidR="00E60B04" w:rsidRPr="00E60B04" w:rsidRDefault="00E60B04" w:rsidP="00E6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B04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4477C5" w:rsidRDefault="004477C5" w:rsidP="00E60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6A2" w:rsidRDefault="00E60B04" w:rsidP="00DF2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B04">
        <w:rPr>
          <w:rFonts w:ascii="Times New Roman" w:hAnsi="Times New Roman"/>
          <w:sz w:val="28"/>
          <w:szCs w:val="28"/>
        </w:rPr>
        <w:t xml:space="preserve">Проект закона </w:t>
      </w:r>
      <w:proofErr w:type="gramStart"/>
      <w:r w:rsidRPr="00E60B04">
        <w:rPr>
          <w:rFonts w:ascii="Times New Roman" w:hAnsi="Times New Roman"/>
          <w:sz w:val="28"/>
          <w:szCs w:val="28"/>
        </w:rPr>
        <w:t>разработан с целью совершенствова</w:t>
      </w:r>
      <w:r>
        <w:rPr>
          <w:rFonts w:ascii="Times New Roman" w:hAnsi="Times New Roman"/>
          <w:sz w:val="28"/>
          <w:szCs w:val="28"/>
        </w:rPr>
        <w:t xml:space="preserve">ния законодательства Удмуртской </w:t>
      </w:r>
      <w:r w:rsidRPr="00E60B04">
        <w:rPr>
          <w:rFonts w:ascii="Times New Roman" w:hAnsi="Times New Roman"/>
          <w:sz w:val="28"/>
          <w:szCs w:val="28"/>
        </w:rPr>
        <w:t>Республики в сфере охраны здоровья граждан от последствий использования кальянов с учётом рекомендаций Всемирн</w:t>
      </w:r>
      <w:r w:rsidR="00DF26A2">
        <w:rPr>
          <w:rFonts w:ascii="Times New Roman" w:hAnsi="Times New Roman"/>
          <w:sz w:val="28"/>
          <w:szCs w:val="28"/>
        </w:rPr>
        <w:t>ой организации здравоохранения и направлен</w:t>
      </w:r>
      <w:proofErr w:type="gramEnd"/>
      <w:r w:rsidR="00DF26A2">
        <w:rPr>
          <w:rFonts w:ascii="Times New Roman" w:hAnsi="Times New Roman"/>
          <w:sz w:val="28"/>
          <w:szCs w:val="28"/>
        </w:rPr>
        <w:t xml:space="preserve"> на защиту здоровья и развития детей в Удмуртской Республике от курения кальяна и пассивного курения кальянного дыма. </w:t>
      </w:r>
    </w:p>
    <w:p w:rsidR="00E60B04" w:rsidRPr="00E60B04" w:rsidRDefault="00E60B04" w:rsidP="00DF2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B04">
        <w:rPr>
          <w:rFonts w:ascii="Times New Roman" w:hAnsi="Times New Roman"/>
          <w:sz w:val="28"/>
          <w:szCs w:val="28"/>
        </w:rPr>
        <w:t>В первую очередь разработка проекта закона обусловлена ростом популярности использования кальянов среди детей и молодёжи, категории граждан, защита здоровья которых должна быть приоритетной.</w:t>
      </w:r>
    </w:p>
    <w:p w:rsidR="00E60B04" w:rsidRDefault="00E60B04" w:rsidP="00E60B0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Лабораторный анализ кальянного дыма выявил поддающиеся измерению уровни канцерогенных веществ и </w:t>
      </w:r>
      <w:proofErr w:type="spellStart"/>
      <w:r>
        <w:rPr>
          <w:rFonts w:eastAsia="Calibri"/>
          <w:sz w:val="28"/>
          <w:szCs w:val="28"/>
          <w:lang w:eastAsia="en-US"/>
        </w:rPr>
        <w:t>токсикантов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таких как оксид азота и тяжёлые металлы. Кроме того, сжигание угля генерирует высокие уровни окиси углерода (СО) и канцерогенных </w:t>
      </w:r>
      <w:r w:rsidR="00512E30">
        <w:rPr>
          <w:rFonts w:eastAsia="Calibri"/>
          <w:sz w:val="28"/>
          <w:szCs w:val="28"/>
          <w:lang w:eastAsia="en-US"/>
        </w:rPr>
        <w:t>полициклических ароматических углеводородов (ПАУ)</w:t>
      </w:r>
      <w:r>
        <w:rPr>
          <w:rFonts w:eastAsia="Calibri"/>
          <w:sz w:val="28"/>
          <w:szCs w:val="28"/>
          <w:lang w:eastAsia="en-US"/>
        </w:rPr>
        <w:t xml:space="preserve">. Эти токсичные вещества имеют отношение к наркомании, заболеваниям сердца и лёгких и к раку у курильщиков, и, если эти </w:t>
      </w:r>
      <w:proofErr w:type="spellStart"/>
      <w:r>
        <w:rPr>
          <w:rFonts w:eastAsia="Calibri"/>
          <w:sz w:val="28"/>
          <w:szCs w:val="28"/>
          <w:lang w:eastAsia="en-US"/>
        </w:rPr>
        <w:t>токсиканты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поглощаются организмом в значительных количествах, могут приводить к аналогичным результатам и у курильщиков кальяна.</w:t>
      </w:r>
    </w:p>
    <w:p w:rsidR="00E60B04" w:rsidRDefault="00E60B04" w:rsidP="00E60B04">
      <w:pPr>
        <w:pStyle w:val="ConsPlusNormal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Курение кальяна связано с многочисленными долгосрочными неблагоприятными последствиями для здоровья. Систематические обзоры существующих исследований указывают на значительные связи между курением кальяна и раком лёгких, </w:t>
      </w:r>
      <w:proofErr w:type="spellStart"/>
      <w:r>
        <w:rPr>
          <w:rFonts w:eastAsia="Calibri"/>
          <w:sz w:val="28"/>
          <w:szCs w:val="28"/>
          <w:lang w:eastAsia="en-US"/>
        </w:rPr>
        <w:t>периодонтальными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заболеваниями и низкой массой тела при рождении. Более поздние данные свидетельствуют о возможных связях с раком ротовой полости, пищевода, желудка и мочевого пузыря, а также с хронической </w:t>
      </w:r>
      <w:proofErr w:type="spellStart"/>
      <w:r>
        <w:rPr>
          <w:rFonts w:eastAsia="Calibri"/>
          <w:sz w:val="28"/>
          <w:szCs w:val="28"/>
          <w:lang w:eastAsia="en-US"/>
        </w:rPr>
        <w:t>обструктивной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болезнью лёгких, </w:t>
      </w:r>
      <w:proofErr w:type="gramStart"/>
      <w:r>
        <w:rPr>
          <w:rFonts w:eastAsia="Calibri"/>
          <w:sz w:val="28"/>
          <w:szCs w:val="28"/>
          <w:lang w:eastAsia="en-US"/>
        </w:rPr>
        <w:t>сердечно</w:t>
      </w:r>
      <w:r w:rsidR="00834ED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сосудистыми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заболеваниями, инсультами, хроническим ринитом, мужским бесплодием, желудочно-пищеводным рефлюксом и нарушением психического здоровья.</w:t>
      </w:r>
      <w:r>
        <w:t xml:space="preserve"> </w:t>
      </w:r>
    </w:p>
    <w:p w:rsidR="00E60B04" w:rsidRDefault="00E60B04" w:rsidP="00E60B0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показывают, что курение кальяна вызывает привыкание. Никотин – это вызывающее привыкание вещество, содержащееся в табаке, и он в значительных количествах присутствует в кальянном дыме. В плазме курильщиков кальяна после его курения значительно увеличивается уровень никотина, более того, они проявляют поведенческие симптомы никотиновой зависимости. Хотя многие из показателей зависимости от кальяна схожи с зависимостью от курения сигарет, есть веские основания полагать, что табачная зависимост</w:t>
      </w:r>
      <w:r w:rsidR="00834ED5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курильщиков кальяна имеет свои уникальные особенности, которые по-прежнему не признаны в моделях и инструментах, описанных в литературе, посвящённой зависимости от сигарет. При отсутствии установленного и утверждённого набора конкретных мер в </w:t>
      </w:r>
      <w:r>
        <w:rPr>
          <w:rFonts w:eastAsia="Calibri"/>
          <w:sz w:val="28"/>
          <w:szCs w:val="28"/>
          <w:lang w:eastAsia="en-US"/>
        </w:rPr>
        <w:lastRenderedPageBreak/>
        <w:t>отношении табачной зависимости от курения кальяна, привыкание к кальяну в настоящее время значительным образом недооценивается.</w:t>
      </w:r>
    </w:p>
    <w:p w:rsidR="00512E30" w:rsidRPr="00512E30" w:rsidRDefault="00512E30" w:rsidP="0051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E30">
        <w:rPr>
          <w:rFonts w:ascii="Times New Roman" w:hAnsi="Times New Roman"/>
          <w:sz w:val="28"/>
          <w:szCs w:val="28"/>
        </w:rPr>
        <w:t>Исследования, проведённые в различных странах мира, показали, что сам</w:t>
      </w:r>
      <w:r w:rsidR="00E36B4B">
        <w:rPr>
          <w:rFonts w:ascii="Times New Roman" w:hAnsi="Times New Roman"/>
          <w:sz w:val="28"/>
          <w:szCs w:val="28"/>
        </w:rPr>
        <w:t xml:space="preserve"> </w:t>
      </w:r>
      <w:r w:rsidRPr="00512E30">
        <w:rPr>
          <w:rFonts w:ascii="Times New Roman" w:hAnsi="Times New Roman"/>
          <w:sz w:val="28"/>
          <w:szCs w:val="28"/>
        </w:rPr>
        <w:t>кальян является источником распространения инфекционных заболеваний. В отчёте Всемирной организации здравоохранения «Курение кальянов: потребность в исследованиях и рекомендованные действия для регуляторов» говорится, что «совместное использование мундштуков представляет</w:t>
      </w:r>
      <w:r w:rsidR="00E36B4B">
        <w:rPr>
          <w:rFonts w:ascii="Times New Roman" w:hAnsi="Times New Roman"/>
          <w:sz w:val="28"/>
          <w:szCs w:val="28"/>
        </w:rPr>
        <w:t xml:space="preserve"> </w:t>
      </w:r>
      <w:r w:rsidRPr="00512E30">
        <w:rPr>
          <w:rFonts w:ascii="Times New Roman" w:hAnsi="Times New Roman"/>
          <w:sz w:val="28"/>
          <w:szCs w:val="28"/>
        </w:rPr>
        <w:t xml:space="preserve">собой значительный риск передачи инфекционных заболеваний, включая туберкулёз и вирусы гепатита». </w:t>
      </w:r>
    </w:p>
    <w:p w:rsidR="00E60B04" w:rsidRPr="00512E30" w:rsidRDefault="00E60B04" w:rsidP="00E60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E30">
        <w:rPr>
          <w:rFonts w:ascii="Times New Roman" w:hAnsi="Times New Roman"/>
          <w:sz w:val="28"/>
          <w:szCs w:val="28"/>
        </w:rPr>
        <w:t xml:space="preserve">Пассивное курение при </w:t>
      </w:r>
      <w:r w:rsidR="00512E30">
        <w:rPr>
          <w:rFonts w:ascii="Times New Roman" w:hAnsi="Times New Roman"/>
          <w:sz w:val="28"/>
          <w:szCs w:val="28"/>
        </w:rPr>
        <w:t>употреблении</w:t>
      </w:r>
      <w:r w:rsidRPr="00512E30">
        <w:rPr>
          <w:rFonts w:ascii="Times New Roman" w:hAnsi="Times New Roman"/>
          <w:sz w:val="28"/>
          <w:szCs w:val="28"/>
        </w:rPr>
        <w:t xml:space="preserve"> кальянов является очень вредным. Многочисленные исследования документально подтверждают наличие значительных количеств </w:t>
      </w:r>
      <w:proofErr w:type="gramStart"/>
      <w:r w:rsidRPr="00512E30">
        <w:rPr>
          <w:rFonts w:ascii="Times New Roman" w:hAnsi="Times New Roman"/>
          <w:sz w:val="28"/>
          <w:szCs w:val="28"/>
        </w:rPr>
        <w:t>СО</w:t>
      </w:r>
      <w:proofErr w:type="gramEnd"/>
      <w:r w:rsidRPr="00512E30">
        <w:rPr>
          <w:rFonts w:ascii="Times New Roman" w:hAnsi="Times New Roman"/>
          <w:sz w:val="28"/>
          <w:szCs w:val="28"/>
        </w:rPr>
        <w:t xml:space="preserve">, альдегидов, ПАУ, ультрадисперсных частиц и вдыхаемых твёрдых частиц в кальянном дыме при пассивном курении. Курение кальяна приводит к большему количеству выбросов СО, ПАУ и летучих альдегидов, чем курение сигарет. Кроме того, прямые выбросы </w:t>
      </w:r>
      <w:proofErr w:type="spellStart"/>
      <w:r w:rsidRPr="00512E30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512E30">
        <w:rPr>
          <w:rFonts w:ascii="Times New Roman" w:hAnsi="Times New Roman"/>
          <w:sz w:val="28"/>
          <w:szCs w:val="28"/>
        </w:rPr>
        <w:t xml:space="preserve"> при курении </w:t>
      </w:r>
      <w:proofErr w:type="spellStart"/>
      <w:r w:rsidRPr="00512E30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Pr="00512E30">
        <w:rPr>
          <w:rFonts w:ascii="Times New Roman" w:hAnsi="Times New Roman"/>
          <w:sz w:val="28"/>
          <w:szCs w:val="28"/>
        </w:rPr>
        <w:t xml:space="preserve"> смесей через кальян были равны или даже превышали выбросы при курении смесей на основе табака. Таким образом, кальянный дым от </w:t>
      </w:r>
      <w:proofErr w:type="spellStart"/>
      <w:r w:rsidRPr="00512E30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Pr="00512E30">
        <w:rPr>
          <w:rFonts w:ascii="Times New Roman" w:hAnsi="Times New Roman"/>
          <w:sz w:val="28"/>
          <w:szCs w:val="28"/>
        </w:rPr>
        <w:t xml:space="preserve"> продуктов так</w:t>
      </w:r>
      <w:r w:rsidR="00834ED5">
        <w:rPr>
          <w:rFonts w:ascii="Times New Roman" w:hAnsi="Times New Roman"/>
          <w:sz w:val="28"/>
          <w:szCs w:val="28"/>
        </w:rPr>
        <w:t xml:space="preserve"> </w:t>
      </w:r>
      <w:r w:rsidRPr="00512E30">
        <w:rPr>
          <w:rFonts w:ascii="Times New Roman" w:hAnsi="Times New Roman"/>
          <w:sz w:val="28"/>
          <w:szCs w:val="28"/>
        </w:rPr>
        <w:t>же опасен и</w:t>
      </w:r>
      <w:r w:rsidR="00834ED5">
        <w:rPr>
          <w:rFonts w:ascii="Times New Roman" w:hAnsi="Times New Roman"/>
          <w:sz w:val="28"/>
          <w:szCs w:val="28"/>
        </w:rPr>
        <w:t>,</w:t>
      </w:r>
      <w:r w:rsidRPr="00512E30">
        <w:rPr>
          <w:rFonts w:ascii="Times New Roman" w:hAnsi="Times New Roman"/>
          <w:sz w:val="28"/>
          <w:szCs w:val="28"/>
        </w:rPr>
        <w:t xml:space="preserve"> помимо никотина, </w:t>
      </w:r>
      <w:proofErr w:type="gramStart"/>
      <w:r w:rsidRPr="00512E30">
        <w:rPr>
          <w:rFonts w:ascii="Times New Roman" w:hAnsi="Times New Roman"/>
          <w:sz w:val="28"/>
          <w:szCs w:val="28"/>
        </w:rPr>
        <w:t xml:space="preserve">содержит те же </w:t>
      </w:r>
      <w:proofErr w:type="spellStart"/>
      <w:r w:rsidRPr="00512E30">
        <w:rPr>
          <w:rFonts w:ascii="Times New Roman" w:hAnsi="Times New Roman"/>
          <w:sz w:val="28"/>
          <w:szCs w:val="28"/>
        </w:rPr>
        <w:t>токсиканты</w:t>
      </w:r>
      <w:proofErr w:type="spellEnd"/>
      <w:r w:rsidRPr="00512E30">
        <w:rPr>
          <w:rFonts w:ascii="Times New Roman" w:hAnsi="Times New Roman"/>
          <w:sz w:val="28"/>
          <w:szCs w:val="28"/>
        </w:rPr>
        <w:t xml:space="preserve"> и имеет</w:t>
      </w:r>
      <w:proofErr w:type="gramEnd"/>
      <w:r w:rsidRPr="00512E30">
        <w:rPr>
          <w:rFonts w:ascii="Times New Roman" w:hAnsi="Times New Roman"/>
          <w:sz w:val="28"/>
          <w:szCs w:val="28"/>
        </w:rPr>
        <w:t xml:space="preserve"> ту же биологическую активность, что и изделия на основе табака.</w:t>
      </w:r>
    </w:p>
    <w:p w:rsidR="00E60B04" w:rsidRDefault="00E60B04" w:rsidP="00E60B04">
      <w:pPr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потребление </w:t>
      </w:r>
      <w:proofErr w:type="spellStart"/>
      <w:r>
        <w:rPr>
          <w:rFonts w:ascii="Times New Roman" w:hAnsi="Times New Roman"/>
          <w:sz w:val="28"/>
          <w:szCs w:val="28"/>
        </w:rPr>
        <w:t>бестабачных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кальянных смесей никак не ограничено по возрасту – фактически даже дети могут курить кальян без каких-либо последствий согласно действующему законодательству Российской Федерации.</w:t>
      </w:r>
    </w:p>
    <w:p w:rsidR="00E60B04" w:rsidRDefault="00E60B04" w:rsidP="00E60B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Несмотря на достигнутые в последние годы успехи, показатели распространённости потребления табака всё ещё остаются довольно высокими. По данным Глобального опроса взрослого населения о потреблении табака (GATS 2016)</w:t>
      </w:r>
      <w:r w:rsidR="00834ED5">
        <w:rPr>
          <w:b w:val="0"/>
          <w:sz w:val="28"/>
          <w:szCs w:val="28"/>
          <w:lang w:eastAsia="en-US"/>
        </w:rPr>
        <w:t>,</w:t>
      </w:r>
      <w:r>
        <w:rPr>
          <w:b w:val="0"/>
          <w:sz w:val="28"/>
          <w:szCs w:val="28"/>
          <w:lang w:eastAsia="en-US"/>
        </w:rPr>
        <w:t xml:space="preserve"> распространённость потребления табака среди взрослого населения Российской Федерации составляет 30,9</w:t>
      </w:r>
      <w:r w:rsidR="00834ED5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%. По данным Глобального обследования потребления табака среди молодёжи (GYTS 2015), в России потребляют табачные изделия 15,1 % подростков 13</w:t>
      </w:r>
      <w:r w:rsidR="00834ED5">
        <w:rPr>
          <w:b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34ED5">
        <w:rPr>
          <w:b w:val="0"/>
          <w:sz w:val="28"/>
          <w:szCs w:val="28"/>
          <w:lang w:eastAsia="en-US"/>
        </w:rPr>
        <w:t>–</w:t>
      </w:r>
      <w:r>
        <w:rPr>
          <w:b w:val="0"/>
          <w:sz w:val="28"/>
          <w:szCs w:val="28"/>
          <w:lang w:eastAsia="en-US"/>
        </w:rPr>
        <w:t xml:space="preserve">15 лет. При этом 2,7 % потребляют </w:t>
      </w:r>
      <w:proofErr w:type="spellStart"/>
      <w:r>
        <w:rPr>
          <w:b w:val="0"/>
          <w:sz w:val="28"/>
          <w:szCs w:val="28"/>
          <w:lang w:eastAsia="en-US"/>
        </w:rPr>
        <w:t>некурительные</w:t>
      </w:r>
      <w:proofErr w:type="spellEnd"/>
      <w:r>
        <w:rPr>
          <w:b w:val="0"/>
          <w:sz w:val="28"/>
          <w:szCs w:val="28"/>
          <w:lang w:eastAsia="en-US"/>
        </w:rPr>
        <w:t xml:space="preserve"> табачные изделия.</w:t>
      </w:r>
    </w:p>
    <w:p w:rsidR="00512E30" w:rsidRDefault="00512E30" w:rsidP="00E60B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DF26A2">
        <w:rPr>
          <w:b w:val="0"/>
          <w:sz w:val="28"/>
          <w:szCs w:val="28"/>
          <w:lang w:eastAsia="en-US"/>
        </w:rPr>
        <w:t>Проект закона вносит изменения в статью 1 Закона Удмуртской Республики от 18 октября 2011 года № 59-РЗ «О мерах по защите здоровья и развития</w:t>
      </w:r>
      <w:r w:rsidR="00DF26A2" w:rsidRPr="00DF26A2">
        <w:rPr>
          <w:b w:val="0"/>
          <w:sz w:val="28"/>
          <w:szCs w:val="28"/>
          <w:lang w:eastAsia="en-US"/>
        </w:rPr>
        <w:t xml:space="preserve"> детей в Удмуртской Республике», котор</w:t>
      </w:r>
      <w:r w:rsidR="00E36B4B">
        <w:rPr>
          <w:b w:val="0"/>
          <w:sz w:val="28"/>
          <w:szCs w:val="28"/>
          <w:lang w:eastAsia="en-US"/>
        </w:rPr>
        <w:t xml:space="preserve">ой </w:t>
      </w:r>
      <w:r w:rsidR="00DF26A2" w:rsidRPr="00DF26A2">
        <w:rPr>
          <w:b w:val="0"/>
          <w:sz w:val="28"/>
          <w:szCs w:val="28"/>
          <w:lang w:eastAsia="en-US"/>
        </w:rPr>
        <w:t>определён перечень мест, в которых не допускается нахождение детей:  рестораны, бары, кафе, пивные рестораны, винные бары, пивные бары, рюмочные и другие места, которые предназначены преимущественно для реализации алкогольной продукции, а также иные</w:t>
      </w:r>
      <w:proofErr w:type="gramEnd"/>
      <w:r w:rsidR="00DF26A2" w:rsidRPr="00DF26A2">
        <w:rPr>
          <w:b w:val="0"/>
          <w:sz w:val="28"/>
          <w:szCs w:val="28"/>
          <w:lang w:eastAsia="en-US"/>
        </w:rPr>
        <w:t xml:space="preserve"> места, нахождение в которых может причинить вред здоровью детей, их физическому, интеллектуальному, психическому, духовному и нравственному развитию. Законопроектом предлагается </w:t>
      </w:r>
      <w:r w:rsidR="00E36B4B">
        <w:rPr>
          <w:b w:val="0"/>
          <w:sz w:val="28"/>
          <w:szCs w:val="28"/>
          <w:lang w:eastAsia="en-US"/>
        </w:rPr>
        <w:t xml:space="preserve">дополнить перечень, </w:t>
      </w:r>
      <w:r w:rsidR="00DF26A2" w:rsidRPr="00DF26A2">
        <w:rPr>
          <w:b w:val="0"/>
          <w:sz w:val="28"/>
          <w:szCs w:val="28"/>
          <w:lang w:eastAsia="en-US"/>
        </w:rPr>
        <w:t>установи</w:t>
      </w:r>
      <w:r w:rsidR="00E36B4B">
        <w:rPr>
          <w:b w:val="0"/>
          <w:sz w:val="28"/>
          <w:szCs w:val="28"/>
          <w:lang w:eastAsia="en-US"/>
        </w:rPr>
        <w:t xml:space="preserve">в </w:t>
      </w:r>
      <w:r w:rsidR="00DF26A2" w:rsidRPr="00DF26A2">
        <w:rPr>
          <w:b w:val="0"/>
          <w:sz w:val="28"/>
          <w:szCs w:val="28"/>
          <w:lang w:eastAsia="en-US"/>
        </w:rPr>
        <w:t xml:space="preserve">запрет на нахождение детей в кальянных; местах, где оказываются услуги по приготовлению и обслуживанию кальянов </w:t>
      </w:r>
      <w:r w:rsidR="00DF26A2" w:rsidRPr="00DF26A2">
        <w:rPr>
          <w:b w:val="0"/>
          <w:sz w:val="28"/>
          <w:szCs w:val="28"/>
          <w:lang w:eastAsia="en-US"/>
        </w:rPr>
        <w:lastRenderedPageBreak/>
        <w:t xml:space="preserve">с их последующим использованием; местах, в которых допускается использование электронных систем доставки никотина. </w:t>
      </w:r>
    </w:p>
    <w:p w:rsidR="00E60B04" w:rsidRPr="00DF26A2" w:rsidRDefault="00E60B04" w:rsidP="00DF26A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</w:p>
    <w:p w:rsidR="00E60B04" w:rsidRPr="00DF26A2" w:rsidRDefault="00E60B04" w:rsidP="00DF26A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eastAsia="en-US"/>
        </w:rPr>
      </w:pPr>
    </w:p>
    <w:p w:rsidR="00E60B04" w:rsidRPr="00DF26A2" w:rsidRDefault="00E60B04" w:rsidP="00DF26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 w:rsidRPr="00DF26A2">
        <w:rPr>
          <w:b w:val="0"/>
          <w:sz w:val="28"/>
          <w:szCs w:val="28"/>
          <w:lang w:eastAsia="en-US"/>
        </w:rPr>
        <w:t xml:space="preserve">Заместитель Председателя  </w:t>
      </w:r>
    </w:p>
    <w:p w:rsidR="00E60B04" w:rsidRPr="00DF26A2" w:rsidRDefault="00E60B04" w:rsidP="00DF26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 w:rsidRPr="00DF26A2">
        <w:rPr>
          <w:b w:val="0"/>
          <w:sz w:val="28"/>
          <w:szCs w:val="28"/>
          <w:lang w:eastAsia="en-US"/>
        </w:rPr>
        <w:t xml:space="preserve">Государственного Совета </w:t>
      </w:r>
    </w:p>
    <w:p w:rsidR="00E60B04" w:rsidRPr="00DF26A2" w:rsidRDefault="00E60B04" w:rsidP="00DF26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 w:rsidRPr="00DF26A2">
        <w:rPr>
          <w:b w:val="0"/>
          <w:sz w:val="28"/>
          <w:szCs w:val="28"/>
          <w:lang w:eastAsia="en-US"/>
        </w:rPr>
        <w:t xml:space="preserve">Удмуртской Республики –  </w:t>
      </w:r>
    </w:p>
    <w:p w:rsidR="00E60B04" w:rsidRPr="00E36B4B" w:rsidRDefault="00E60B04" w:rsidP="00DF26A2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  <w:r w:rsidRPr="00DF26A2">
        <w:rPr>
          <w:b w:val="0"/>
          <w:sz w:val="28"/>
          <w:szCs w:val="28"/>
          <w:lang w:eastAsia="en-US"/>
        </w:rPr>
        <w:t xml:space="preserve">председатель постоянной комиссии </w:t>
      </w:r>
      <w:r w:rsidRPr="00DF26A2">
        <w:rPr>
          <w:b w:val="0"/>
          <w:sz w:val="28"/>
          <w:szCs w:val="28"/>
          <w:lang w:eastAsia="en-US"/>
        </w:rPr>
        <w:tab/>
      </w:r>
      <w:r w:rsidRPr="00DF26A2">
        <w:rPr>
          <w:b w:val="0"/>
          <w:sz w:val="28"/>
          <w:szCs w:val="28"/>
          <w:lang w:eastAsia="en-US"/>
        </w:rPr>
        <w:tab/>
      </w:r>
      <w:r w:rsidRPr="00DF26A2">
        <w:rPr>
          <w:b w:val="0"/>
          <w:sz w:val="28"/>
          <w:szCs w:val="28"/>
          <w:lang w:eastAsia="en-US"/>
        </w:rPr>
        <w:tab/>
        <w:t xml:space="preserve">    </w:t>
      </w:r>
      <w:r w:rsidR="00E36B4B">
        <w:rPr>
          <w:b w:val="0"/>
          <w:sz w:val="28"/>
          <w:szCs w:val="28"/>
          <w:lang w:eastAsia="en-US"/>
        </w:rPr>
        <w:t xml:space="preserve">      </w:t>
      </w:r>
      <w:r w:rsidRPr="00DF26A2">
        <w:rPr>
          <w:b w:val="0"/>
          <w:sz w:val="28"/>
          <w:szCs w:val="28"/>
          <w:lang w:eastAsia="en-US"/>
        </w:rPr>
        <w:t xml:space="preserve"> </w:t>
      </w:r>
      <w:proofErr w:type="spellStart"/>
      <w:r w:rsidRPr="00DF26A2">
        <w:rPr>
          <w:b w:val="0"/>
          <w:sz w:val="28"/>
          <w:szCs w:val="28"/>
          <w:lang w:eastAsia="en-US"/>
        </w:rPr>
        <w:t>Н.А.</w:t>
      </w:r>
      <w:r w:rsidRPr="00E36B4B">
        <w:rPr>
          <w:b w:val="0"/>
          <w:sz w:val="28"/>
          <w:szCs w:val="28"/>
          <w:lang w:eastAsia="en-US"/>
        </w:rPr>
        <w:t>Михайло</w:t>
      </w:r>
      <w:r w:rsidRPr="00E36B4B">
        <w:rPr>
          <w:b w:val="0"/>
          <w:sz w:val="28"/>
          <w:szCs w:val="28"/>
        </w:rPr>
        <w:t>ва</w:t>
      </w:r>
      <w:proofErr w:type="spellEnd"/>
    </w:p>
    <w:p w:rsidR="00861B76" w:rsidRDefault="00861B76" w:rsidP="00337AF0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sectPr w:rsidR="00861B76" w:rsidSect="00090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30" w:rsidRDefault="00512E30" w:rsidP="00792115">
      <w:pPr>
        <w:spacing w:after="0" w:line="240" w:lineRule="auto"/>
      </w:pPr>
      <w:r>
        <w:separator/>
      </w:r>
    </w:p>
  </w:endnote>
  <w:endnote w:type="continuationSeparator" w:id="0">
    <w:p w:rsidR="00512E30" w:rsidRDefault="00512E30" w:rsidP="007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30" w:rsidRDefault="00512E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30" w:rsidRDefault="00512E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30" w:rsidRDefault="00512E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30" w:rsidRDefault="00512E30" w:rsidP="00792115">
      <w:pPr>
        <w:spacing w:after="0" w:line="240" w:lineRule="auto"/>
      </w:pPr>
      <w:r>
        <w:separator/>
      </w:r>
    </w:p>
  </w:footnote>
  <w:footnote w:type="continuationSeparator" w:id="0">
    <w:p w:rsidR="00512E30" w:rsidRDefault="00512E30" w:rsidP="0079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30" w:rsidRDefault="00512E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35237729"/>
      <w:docPartObj>
        <w:docPartGallery w:val="Page Numbers (Top of Page)"/>
        <w:docPartUnique/>
      </w:docPartObj>
    </w:sdtPr>
    <w:sdtEndPr/>
    <w:sdtContent>
      <w:p w:rsidR="00512E30" w:rsidRPr="00A8432E" w:rsidRDefault="00512E3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8432E">
          <w:rPr>
            <w:rFonts w:ascii="Times New Roman" w:hAnsi="Times New Roman"/>
            <w:sz w:val="24"/>
            <w:szCs w:val="24"/>
          </w:rPr>
          <w:fldChar w:fldCharType="begin"/>
        </w:r>
        <w:r w:rsidRPr="00A843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432E">
          <w:rPr>
            <w:rFonts w:ascii="Times New Roman" w:hAnsi="Times New Roman"/>
            <w:sz w:val="24"/>
            <w:szCs w:val="24"/>
          </w:rPr>
          <w:fldChar w:fldCharType="separate"/>
        </w:r>
        <w:r w:rsidR="00834ED5">
          <w:rPr>
            <w:rFonts w:ascii="Times New Roman" w:hAnsi="Times New Roman"/>
            <w:noProof/>
            <w:sz w:val="24"/>
            <w:szCs w:val="24"/>
          </w:rPr>
          <w:t>2</w:t>
        </w:r>
        <w:r w:rsidRPr="00A843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2E30" w:rsidRDefault="00512E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30" w:rsidRDefault="00512E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C27"/>
    <w:multiLevelType w:val="hybridMultilevel"/>
    <w:tmpl w:val="178EF144"/>
    <w:lvl w:ilvl="0" w:tplc="53D6C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D15AE"/>
    <w:multiLevelType w:val="hybridMultilevel"/>
    <w:tmpl w:val="498CD8A0"/>
    <w:lvl w:ilvl="0" w:tplc="85FED6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B327B"/>
    <w:multiLevelType w:val="hybridMultilevel"/>
    <w:tmpl w:val="90E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F"/>
    <w:rsid w:val="00025C77"/>
    <w:rsid w:val="00037F2B"/>
    <w:rsid w:val="00071B78"/>
    <w:rsid w:val="000903D1"/>
    <w:rsid w:val="00103D33"/>
    <w:rsid w:val="00131AFC"/>
    <w:rsid w:val="001C74F8"/>
    <w:rsid w:val="001E520B"/>
    <w:rsid w:val="0020519D"/>
    <w:rsid w:val="002E2263"/>
    <w:rsid w:val="002F7867"/>
    <w:rsid w:val="00315830"/>
    <w:rsid w:val="00320633"/>
    <w:rsid w:val="00337AF0"/>
    <w:rsid w:val="003561F4"/>
    <w:rsid w:val="00357F7B"/>
    <w:rsid w:val="00392218"/>
    <w:rsid w:val="003F52E8"/>
    <w:rsid w:val="004477C5"/>
    <w:rsid w:val="00457F7C"/>
    <w:rsid w:val="004A0C49"/>
    <w:rsid w:val="00503FA7"/>
    <w:rsid w:val="00512E30"/>
    <w:rsid w:val="00525B84"/>
    <w:rsid w:val="005D322D"/>
    <w:rsid w:val="005F42B1"/>
    <w:rsid w:val="005F4D70"/>
    <w:rsid w:val="005F6D23"/>
    <w:rsid w:val="0066004E"/>
    <w:rsid w:val="0066157D"/>
    <w:rsid w:val="006D3397"/>
    <w:rsid w:val="00722314"/>
    <w:rsid w:val="00792115"/>
    <w:rsid w:val="007D0543"/>
    <w:rsid w:val="00817116"/>
    <w:rsid w:val="00834ED5"/>
    <w:rsid w:val="00844BB1"/>
    <w:rsid w:val="00861B76"/>
    <w:rsid w:val="00981D81"/>
    <w:rsid w:val="009B72E6"/>
    <w:rsid w:val="009C1C91"/>
    <w:rsid w:val="00A2785E"/>
    <w:rsid w:val="00A8432E"/>
    <w:rsid w:val="00AA65DC"/>
    <w:rsid w:val="00B32630"/>
    <w:rsid w:val="00B65851"/>
    <w:rsid w:val="00BD124A"/>
    <w:rsid w:val="00C04FCC"/>
    <w:rsid w:val="00C17A81"/>
    <w:rsid w:val="00C21D9E"/>
    <w:rsid w:val="00C74DFB"/>
    <w:rsid w:val="00CA6239"/>
    <w:rsid w:val="00D20BF2"/>
    <w:rsid w:val="00DF26A2"/>
    <w:rsid w:val="00DF4129"/>
    <w:rsid w:val="00E03B3F"/>
    <w:rsid w:val="00E36B4B"/>
    <w:rsid w:val="00E41C5E"/>
    <w:rsid w:val="00E44D18"/>
    <w:rsid w:val="00E60B04"/>
    <w:rsid w:val="00E65BFA"/>
    <w:rsid w:val="00EC75FA"/>
    <w:rsid w:val="00F0021B"/>
    <w:rsid w:val="00F12E8C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0B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0B04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0B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0B04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Вероника Валентиновна</cp:lastModifiedBy>
  <cp:revision>8</cp:revision>
  <cp:lastPrinted>2016-11-10T07:04:00Z</cp:lastPrinted>
  <dcterms:created xsi:type="dcterms:W3CDTF">2018-11-01T04:14:00Z</dcterms:created>
  <dcterms:modified xsi:type="dcterms:W3CDTF">2018-12-29T06:31:00Z</dcterms:modified>
</cp:coreProperties>
</file>